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eastAsia="仿宋_GB2312"/>
          <w:sz w:val="32"/>
          <w:szCs w:val="32"/>
        </w:rPr>
      </w:pPr>
      <w:r>
        <w:rPr>
          <w:rFonts w:hint="eastAsia" w:eastAsia="仿宋_GB2312"/>
          <w:sz w:val="32"/>
          <w:szCs w:val="32"/>
        </w:rPr>
        <w:t>附件1</w:t>
      </w:r>
    </w:p>
    <w:p>
      <w:pPr>
        <w:spacing w:line="594" w:lineRule="exact"/>
        <w:rPr>
          <w:rFonts w:hint="eastAsia" w:eastAsia="仿宋_GB2312"/>
          <w:sz w:val="32"/>
          <w:szCs w:val="32"/>
        </w:rPr>
      </w:pPr>
    </w:p>
    <w:p>
      <w:pPr>
        <w:spacing w:line="594"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2019年度信阳市哲学社会科学规划项目</w:t>
      </w:r>
    </w:p>
    <w:p>
      <w:pPr>
        <w:spacing w:line="594" w:lineRule="exact"/>
        <w:jc w:val="center"/>
        <w:rPr>
          <w:rFonts w:hint="eastAsia" w:ascii="方正大标宋简体" w:hAnsi="方正大标宋简体" w:eastAsia="方正大标宋简体" w:cs="方正大标宋简体"/>
          <w:sz w:val="44"/>
          <w:szCs w:val="44"/>
        </w:rPr>
      </w:pPr>
    </w:p>
    <w:p>
      <w:pPr>
        <w:spacing w:line="594" w:lineRule="exact"/>
        <w:jc w:val="center"/>
        <w:rPr>
          <w:rFonts w:hint="eastAsia" w:eastAsia="仿宋_GB2312"/>
          <w:sz w:val="44"/>
          <w:szCs w:val="44"/>
        </w:rPr>
      </w:pPr>
      <w:r>
        <w:rPr>
          <w:rFonts w:hint="eastAsia" w:ascii="方正大标宋简体" w:hAnsi="方正大标宋简体" w:eastAsia="方正大标宋简体" w:cs="方正大标宋简体"/>
          <w:sz w:val="44"/>
          <w:szCs w:val="44"/>
        </w:rPr>
        <w:t>课  题  指  南</w:t>
      </w: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jc w:val="center"/>
        <w:rPr>
          <w:rFonts w:hint="eastAsia" w:eastAsia="仿宋_GB2312"/>
          <w:sz w:val="32"/>
          <w:szCs w:val="32"/>
        </w:rPr>
      </w:pPr>
      <w:r>
        <w:rPr>
          <w:rFonts w:hint="eastAsia" w:eastAsia="仿宋_GB2312"/>
          <w:sz w:val="32"/>
          <w:szCs w:val="32"/>
        </w:rPr>
        <w:t>2019年4月</w:t>
      </w:r>
    </w:p>
    <w:p>
      <w:pPr>
        <w:spacing w:line="594" w:lineRule="exact"/>
        <w:rPr>
          <w:rFonts w:hint="eastAsia" w:ascii="方正大标宋简体" w:hAnsi="方正大标宋简体" w:eastAsia="方正大标宋简体" w:cs="方正大标宋简体"/>
          <w:sz w:val="44"/>
          <w:szCs w:val="44"/>
        </w:rPr>
        <w:sectPr>
          <w:footerReference r:id="rId3" w:type="default"/>
          <w:pgSz w:w="11906" w:h="16838"/>
          <w:pgMar w:top="1757" w:right="1361" w:bottom="1587" w:left="1361" w:header="851" w:footer="1417" w:gutter="0"/>
          <w:pgNumType w:fmt="numberInDash"/>
          <w:cols w:space="720" w:num="1"/>
          <w:docGrid w:type="lines" w:linePitch="312" w:charSpace="0"/>
        </w:sectPr>
      </w:pPr>
    </w:p>
    <w:p>
      <w:pPr>
        <w:spacing w:line="594"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说     明</w:t>
      </w:r>
    </w:p>
    <w:p>
      <w:pPr>
        <w:spacing w:line="514" w:lineRule="exact"/>
        <w:rPr>
          <w:rFonts w:hint="eastAsia" w:eastAsia="仿宋_GB2312"/>
          <w:sz w:val="32"/>
          <w:szCs w:val="32"/>
        </w:rPr>
      </w:pPr>
      <w:r>
        <w:rPr>
          <w:rFonts w:hint="eastAsia" w:eastAsia="仿宋_GB2312"/>
          <w:sz w:val="32"/>
          <w:szCs w:val="32"/>
        </w:rPr>
        <w:t>　　一、《2019年度信阳市哲学社会科学规划项目课题指南》（以下简称《指南》）坚持以习近平新时代中国特色社会主义思想为指导，</w:t>
      </w:r>
      <w:r>
        <w:rPr>
          <w:rFonts w:hint="eastAsia" w:eastAsia="仿宋_GB2312"/>
          <w:spacing w:val="3"/>
          <w:sz w:val="32"/>
          <w:szCs w:val="32"/>
        </w:rPr>
        <w:t>全面贯彻落实党的十九大和十九届二中、三中全会精神，认真贯彻落实省委十届六次、七次、八次全会和市委五届六次、七次、八次全会精神</w:t>
      </w:r>
      <w:r>
        <w:rPr>
          <w:rFonts w:hint="eastAsia" w:eastAsia="仿宋_GB2312"/>
          <w:sz w:val="32"/>
          <w:szCs w:val="32"/>
        </w:rPr>
        <w:t>，围绕发挥优势打好“四张牌”、坚决打赢“三大攻坚战”的任务要求，着力推进“五个信阳”建设，为决胜全面建成小康社会，开启新时代信阳全面建设社会主义现代化新征程提供坚强理论支撑和智力支持。</w:t>
      </w:r>
    </w:p>
    <w:p>
      <w:pPr>
        <w:spacing w:line="514" w:lineRule="exact"/>
        <w:rPr>
          <w:rFonts w:hint="eastAsia" w:eastAsia="仿宋_GB2312"/>
          <w:sz w:val="32"/>
          <w:szCs w:val="32"/>
        </w:rPr>
      </w:pPr>
      <w:r>
        <w:rPr>
          <w:rFonts w:hint="eastAsia" w:eastAsia="仿宋_GB2312"/>
          <w:sz w:val="32"/>
          <w:szCs w:val="32"/>
        </w:rPr>
        <w:t>　　二、本《指南》所列题目，可按《指南》要求申报；《指南》未列的，申报者亦可结合自身研究优势，自行设计题目。申报者限定主持申报一项（另可参与一项）。</w:t>
      </w:r>
    </w:p>
    <w:p>
      <w:pPr>
        <w:spacing w:line="514" w:lineRule="exact"/>
        <w:rPr>
          <w:rFonts w:hint="eastAsia" w:eastAsia="仿宋_GB2312"/>
          <w:sz w:val="32"/>
          <w:szCs w:val="32"/>
        </w:rPr>
      </w:pPr>
      <w:r>
        <w:rPr>
          <w:rFonts w:hint="eastAsia" w:eastAsia="仿宋_GB2312"/>
          <w:sz w:val="32"/>
          <w:szCs w:val="32"/>
        </w:rPr>
        <w:t>　　三、课题申报人负责组成课题组后，应认真研究申报课题的设计框架，并按要求填写课题申报表一式两份，于2019年5月20日前，由所在单位加盖印鉴后统一报送市哲学社会科学规划领导小组办公室。经市社科规划办组织专家评审并下达立项通知后，即作为2019年度信阳市哲学社会科学规划项目调研课题。</w:t>
      </w:r>
    </w:p>
    <w:p>
      <w:pPr>
        <w:spacing w:line="514" w:lineRule="exact"/>
        <w:rPr>
          <w:rFonts w:hint="eastAsia" w:eastAsia="仿宋_GB2312"/>
          <w:sz w:val="32"/>
          <w:szCs w:val="32"/>
        </w:rPr>
      </w:pPr>
      <w:r>
        <w:rPr>
          <w:rFonts w:hint="eastAsia" w:eastAsia="仿宋_GB2312"/>
          <w:sz w:val="32"/>
          <w:szCs w:val="32"/>
        </w:rPr>
        <w:t>　　四、申报课题获准立项后，承担人应按照《指南》要求，在规定时间内完成课题调研与文字工作，于2020年6月1日，将结项鉴定审批书、结项报告及研究成果压缩的论文各一式2份（其中1份结项报告和论文不署名）报送市哲学社会科学规划领导小组办公室（并附电子文档）。经专家组验收评审，对通过结项鉴定的课题，给课题组负责人及成员颁发结项证书，经个人申请可参加当年度的市社科优秀成果评奖。</w:t>
      </w:r>
    </w:p>
    <w:p>
      <w:pPr>
        <w:spacing w:line="514" w:lineRule="exact"/>
        <w:rPr>
          <w:rFonts w:hint="eastAsia" w:eastAsia="仿宋_GB2312"/>
          <w:sz w:val="32"/>
          <w:szCs w:val="32"/>
        </w:rPr>
      </w:pPr>
      <w:r>
        <w:rPr>
          <w:rFonts w:hint="eastAsia" w:eastAsia="仿宋_GB2312"/>
          <w:sz w:val="32"/>
          <w:szCs w:val="32"/>
        </w:rPr>
        <w:t>　　　电话：6366361  6366362     邮箱：hnxyskl@163.com</w:t>
      </w:r>
    </w:p>
    <w:p>
      <w:pPr>
        <w:spacing w:line="514" w:lineRule="exact"/>
        <w:rPr>
          <w:rFonts w:hint="eastAsia" w:eastAsia="仿宋_GB2312"/>
          <w:sz w:val="32"/>
          <w:szCs w:val="32"/>
        </w:rPr>
      </w:pPr>
      <w:r>
        <w:rPr>
          <w:rFonts w:hint="eastAsia" w:eastAsia="仿宋_GB2312"/>
          <w:sz w:val="32"/>
          <w:szCs w:val="32"/>
        </w:rPr>
        <w:t>　　　地址：信阳市羊山新区新五大道行政办公区主楼90826室</w:t>
      </w:r>
    </w:p>
    <w:p>
      <w:pPr>
        <w:spacing w:line="594" w:lineRule="exact"/>
        <w:jc w:val="center"/>
        <w:rPr>
          <w:rFonts w:hint="eastAsia" w:ascii="方正大标宋简体" w:hAnsi="方正大标宋简体" w:eastAsia="方正大标宋简体" w:cs="方正大标宋简体"/>
          <w:sz w:val="36"/>
          <w:szCs w:val="36"/>
        </w:rPr>
        <w:sectPr>
          <w:footerReference r:id="rId4" w:type="default"/>
          <w:pgSz w:w="11906" w:h="16838"/>
          <w:pgMar w:top="1757" w:right="1361" w:bottom="1587" w:left="1361" w:header="851" w:footer="1417" w:gutter="0"/>
          <w:pgNumType w:fmt="numberInDash"/>
          <w:cols w:space="720" w:num="1"/>
          <w:docGrid w:type="lines" w:linePitch="312" w:charSpace="0"/>
        </w:sectPr>
      </w:pPr>
    </w:p>
    <w:p>
      <w:pPr>
        <w:jc w:val="center"/>
        <w:rPr>
          <w:rFonts w:ascii="黑体" w:hAnsi="黑体" w:eastAsia="黑体"/>
          <w:sz w:val="44"/>
          <w:szCs w:val="44"/>
        </w:rPr>
      </w:pPr>
      <w:r>
        <w:rPr>
          <w:rFonts w:hint="eastAsia" w:ascii="黑体" w:hAnsi="黑体" w:eastAsia="黑体"/>
          <w:sz w:val="44"/>
          <w:szCs w:val="44"/>
        </w:rPr>
        <w:t>2019年信阳市哲学社会科学规划项目</w:t>
      </w:r>
    </w:p>
    <w:p>
      <w:pPr>
        <w:jc w:val="center"/>
        <w:rPr>
          <w:rFonts w:ascii="黑体" w:hAnsi="黑体" w:eastAsia="黑体"/>
          <w:sz w:val="44"/>
          <w:szCs w:val="44"/>
        </w:rPr>
      </w:pPr>
      <w:r>
        <w:rPr>
          <w:rFonts w:hint="eastAsia" w:ascii="黑体" w:hAnsi="黑体" w:eastAsia="黑体"/>
          <w:sz w:val="44"/>
          <w:szCs w:val="44"/>
        </w:rPr>
        <w:t>课题指南</w:t>
      </w:r>
    </w:p>
    <w:p>
      <w:pPr>
        <w:spacing w:line="0" w:lineRule="atLeast"/>
        <w:ind w:left="378" w:hanging="377" w:hangingChars="118"/>
        <w:rPr>
          <w:rFonts w:hint="eastAsia" w:ascii="黑体" w:hAnsi="黑体" w:eastAsia="黑体"/>
          <w:bCs/>
          <w:color w:val="000000"/>
          <w:sz w:val="32"/>
          <w:szCs w:val="32"/>
        </w:rPr>
      </w:pPr>
    </w:p>
    <w:p>
      <w:pPr>
        <w:spacing w:line="0" w:lineRule="atLeast"/>
        <w:ind w:left="378" w:hanging="377" w:hangingChars="118"/>
        <w:rPr>
          <w:rFonts w:ascii="黑体" w:hAnsi="黑体" w:eastAsia="黑体"/>
          <w:bCs/>
          <w:color w:val="000000"/>
          <w:sz w:val="32"/>
          <w:szCs w:val="32"/>
        </w:rPr>
      </w:pPr>
      <w:r>
        <w:rPr>
          <w:rFonts w:hint="eastAsia" w:ascii="黑体" w:hAnsi="黑体" w:eastAsia="黑体"/>
          <w:bCs/>
          <w:color w:val="000000"/>
          <w:sz w:val="32"/>
          <w:szCs w:val="32"/>
        </w:rPr>
        <w:t>马克思主义·科学社会主义</w:t>
      </w:r>
    </w:p>
    <w:p>
      <w:pPr>
        <w:spacing w:line="0" w:lineRule="atLeast"/>
        <w:rPr>
          <w:rFonts w:ascii="仿宋" w:hAnsi="仿宋" w:eastAsia="仿宋"/>
          <w:color w:val="000000"/>
          <w:sz w:val="32"/>
          <w:szCs w:val="32"/>
        </w:rPr>
      </w:pPr>
      <w:r>
        <w:rPr>
          <w:rFonts w:hint="eastAsia" w:ascii="仿宋" w:hAnsi="仿宋" w:eastAsia="仿宋"/>
          <w:color w:val="000000"/>
          <w:sz w:val="32"/>
          <w:szCs w:val="32"/>
          <w:shd w:val="clear" w:color="auto" w:fill="FFFFFF"/>
        </w:rPr>
        <w:t>1.习近平新时代中国特色社会主义思想对马克思主义的重大贡献研究（可分专题研究）</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2.习近平总书记关于意识形态工作的重要论述研究</w:t>
      </w:r>
      <w:r>
        <w:rPr>
          <w:rFonts w:hint="eastAsia" w:ascii="仿宋" w:hAnsi="仿宋" w:eastAsia="仿宋"/>
          <w:color w:val="000000"/>
          <w:sz w:val="32"/>
          <w:szCs w:val="32"/>
          <w:shd w:val="clear" w:color="auto" w:fill="FFFFFF"/>
        </w:rPr>
        <w:t>（可分专题研究）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3.习近平总书记关于思想政治教育的重要论述研究</w:t>
      </w:r>
      <w:r>
        <w:rPr>
          <w:rFonts w:hint="eastAsia" w:ascii="仿宋" w:hAnsi="仿宋" w:eastAsia="仿宋"/>
          <w:color w:val="000000"/>
          <w:sz w:val="32"/>
          <w:szCs w:val="32"/>
          <w:shd w:val="clear" w:color="auto" w:fill="FFFFFF"/>
        </w:rPr>
        <w:t>（可分专题研究）</w:t>
      </w:r>
    </w:p>
    <w:p>
      <w:pPr>
        <w:spacing w:line="0" w:lineRule="atLeast"/>
        <w:rPr>
          <w:rFonts w:ascii="仿宋" w:hAnsi="仿宋" w:eastAsia="仿宋"/>
          <w:color w:val="000000"/>
          <w:sz w:val="32"/>
          <w:szCs w:val="32"/>
        </w:rPr>
      </w:pPr>
      <w:r>
        <w:rPr>
          <w:rFonts w:hint="eastAsia" w:ascii="仿宋" w:hAnsi="仿宋" w:eastAsia="仿宋"/>
          <w:color w:val="000000"/>
          <w:sz w:val="32"/>
          <w:szCs w:val="32"/>
          <w:shd w:val="clear" w:color="auto" w:fill="FFFFFF"/>
        </w:rPr>
        <w:t>4.马克思主义经典著作及其当代意义研究（可分专题研究）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5.新时代中国特色社会主义文化自信研究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6.新时代高校思想政治教育工作研究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7.网络意识形态领域新情况及其应对策略研究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8.中华传统文化的传承与发展创新研究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9.信阳传统文化、乡土文化、民俗文化保护、传承与创新研究</w:t>
      </w:r>
    </w:p>
    <w:p>
      <w:pPr>
        <w:pStyle w:val="4"/>
        <w:shd w:val="clear" w:color="auto" w:fill="FFFFFF"/>
        <w:spacing w:before="0" w:beforeAutospacing="0" w:after="0" w:afterAutospacing="0" w:line="0" w:lineRule="atLeast"/>
        <w:jc w:val="both"/>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10.新时代大别山红色文化的传承与发展研究</w:t>
      </w:r>
    </w:p>
    <w:p>
      <w:pPr>
        <w:spacing w:line="0" w:lineRule="atLeas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11.</w:t>
      </w:r>
      <w:bookmarkStart w:id="0" w:name="_GoBack"/>
      <w:bookmarkEnd w:id="0"/>
      <w:r>
        <w:rPr>
          <w:rFonts w:hint="eastAsia" w:ascii="仿宋" w:hAnsi="仿宋" w:eastAsia="仿宋"/>
          <w:color w:val="000000"/>
          <w:sz w:val="32"/>
          <w:szCs w:val="32"/>
          <w:shd w:val="clear" w:color="auto" w:fill="FFFFFF"/>
        </w:rPr>
        <w:t>新时代爱国统一战线工作机制创新研究</w:t>
      </w:r>
    </w:p>
    <w:p>
      <w:pPr>
        <w:spacing w:line="0" w:lineRule="atLeast"/>
        <w:ind w:left="378" w:hanging="377" w:hangingChars="118"/>
        <w:rPr>
          <w:rFonts w:ascii="黑体" w:hAnsi="黑体" w:eastAsia="黑体"/>
          <w:bCs/>
          <w:color w:val="000000"/>
          <w:sz w:val="32"/>
          <w:szCs w:val="32"/>
        </w:rPr>
      </w:pPr>
      <w:r>
        <w:rPr>
          <w:rFonts w:hint="eastAsia" w:ascii="黑体" w:hAnsi="黑体" w:eastAsia="黑体"/>
          <w:bCs/>
          <w:color w:val="000000"/>
          <w:sz w:val="32"/>
          <w:szCs w:val="32"/>
        </w:rPr>
        <w:t>党史·党建</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1.习近平总书记关于党史、国史的重要论述研究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2.习近平总书记关于党的建设和组织工作的重要论述研究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3.中国共产党建党100周年对推动信阳经济社会发展进步研究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4.以党的建设高质量推动经济发展高质量研究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5.基层党组织规范化标准化研究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6.信阳党史重大事件、重要人物研究</w:t>
      </w:r>
    </w:p>
    <w:p>
      <w:pPr>
        <w:spacing w:line="0" w:lineRule="atLeast"/>
        <w:ind w:left="378" w:hanging="377" w:hangingChars="118"/>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7.“不忘初心、牢记使命”在信阳实践研究</w:t>
      </w:r>
    </w:p>
    <w:p>
      <w:pPr>
        <w:spacing w:line="0" w:lineRule="atLeast"/>
        <w:ind w:left="378" w:hanging="377" w:hangingChars="118"/>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8.推动非公有制经济组织党建工作机制研究</w:t>
      </w:r>
    </w:p>
    <w:p>
      <w:pPr>
        <w:spacing w:line="0" w:lineRule="atLeast"/>
        <w:ind w:left="378" w:hanging="377" w:hangingChars="118"/>
        <w:rPr>
          <w:rFonts w:ascii="仿宋" w:hAnsi="仿宋" w:eastAsia="仿宋"/>
          <w:b/>
          <w:bCs/>
          <w:color w:val="000000"/>
          <w:sz w:val="32"/>
          <w:szCs w:val="32"/>
        </w:rPr>
      </w:pPr>
      <w:r>
        <w:rPr>
          <w:rFonts w:hint="eastAsia" w:ascii="仿宋" w:hAnsi="仿宋" w:eastAsia="仿宋"/>
          <w:color w:val="000000"/>
          <w:sz w:val="32"/>
          <w:szCs w:val="32"/>
          <w:shd w:val="clear" w:color="auto" w:fill="FFFFFF"/>
        </w:rPr>
        <w:t>9.推动信阳纪检监察工作创新研究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10.大别山革命史专题研究</w:t>
      </w:r>
    </w:p>
    <w:p>
      <w:pPr>
        <w:spacing w:line="0" w:lineRule="atLeast"/>
        <w:ind w:left="378" w:hanging="377" w:hangingChars="118"/>
        <w:rPr>
          <w:rStyle w:val="7"/>
          <w:rFonts w:ascii="仿宋" w:hAnsi="仿宋" w:eastAsia="仿宋"/>
          <w:bCs w:val="0"/>
          <w:color w:val="000000"/>
          <w:sz w:val="32"/>
          <w:szCs w:val="32"/>
          <w:shd w:val="clear" w:color="auto" w:fill="FFFFFF"/>
        </w:rPr>
      </w:pPr>
      <w:r>
        <w:rPr>
          <w:rFonts w:hint="eastAsia" w:ascii="仿宋" w:hAnsi="仿宋" w:eastAsia="仿宋"/>
          <w:color w:val="000000"/>
          <w:sz w:val="32"/>
          <w:szCs w:val="32"/>
          <w:shd w:val="clear" w:color="auto" w:fill="FFFFFF"/>
        </w:rPr>
        <w:t>11.提升干部正向激励机制研究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12.新时代信阳精神研究</w:t>
      </w:r>
    </w:p>
    <w:p>
      <w:pPr>
        <w:pStyle w:val="4"/>
        <w:shd w:val="clear" w:color="auto" w:fill="FFFFFF"/>
        <w:spacing w:before="0" w:beforeAutospacing="0" w:after="0" w:afterAutospacing="0" w:line="0" w:lineRule="atLeast"/>
        <w:rPr>
          <w:rFonts w:ascii="黑体" w:hAnsi="黑体" w:eastAsia="黑体" w:cs="Arial"/>
          <w:color w:val="000000"/>
          <w:sz w:val="32"/>
          <w:szCs w:val="32"/>
        </w:rPr>
      </w:pPr>
      <w:r>
        <w:rPr>
          <w:rStyle w:val="7"/>
          <w:rFonts w:hint="eastAsia" w:ascii="黑体" w:hAnsi="黑体" w:eastAsia="黑体" w:cs="Arial"/>
          <w:b w:val="0"/>
          <w:bCs w:val="0"/>
          <w:color w:val="000000"/>
          <w:sz w:val="32"/>
          <w:szCs w:val="32"/>
        </w:rPr>
        <w:t>哲学</w:t>
      </w:r>
      <w:r>
        <w:rPr>
          <w:rFonts w:hint="eastAsia" w:ascii="黑体" w:hAnsi="黑体" w:eastAsia="黑体"/>
          <w:color w:val="000000"/>
          <w:sz w:val="32"/>
          <w:szCs w:val="32"/>
        </w:rPr>
        <w:t>·</w:t>
      </w:r>
      <w:r>
        <w:rPr>
          <w:rStyle w:val="7"/>
          <w:rFonts w:hint="eastAsia" w:ascii="黑体" w:hAnsi="黑体" w:eastAsia="黑体" w:cs="Arial"/>
          <w:b w:val="0"/>
          <w:bCs w:val="0"/>
          <w:color w:val="000000"/>
          <w:sz w:val="32"/>
          <w:szCs w:val="32"/>
        </w:rPr>
        <w:t>逻辑学</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1.习近平新时代中国特色社会主义思想的哲学研究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2.习近平生态文明思想研究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3.中国特色哲学社会科学学科体系、学术体系、话语体系研究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4.社会主义核心价值观基本理论研究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5.当代环境与生态哲学问题研究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6.思想道德建设与信阳文明城市创建研究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7.争做“出彩信阳人”研究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8.弘扬新时代工匠精神研究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9.时代精神引领社会风尚研究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10.马克思主义哲学专题研究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11.中国传统哲学专题研究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12.外国哲学专题研究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13.伦理学基础理论与前沿问题研究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14.美学基本理论与前沿问题研究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15.中国古代逻辑研究</w:t>
      </w:r>
    </w:p>
    <w:p>
      <w:pPr>
        <w:pStyle w:val="4"/>
        <w:shd w:val="clear" w:color="auto" w:fill="FFFFFF"/>
        <w:spacing w:before="0" w:beforeAutospacing="0" w:after="0" w:afterAutospacing="0" w:line="0" w:lineRule="atLeast"/>
        <w:jc w:val="both"/>
        <w:rPr>
          <w:rFonts w:hint="eastAsia" w:ascii="仿宋" w:hAnsi="仿宋" w:eastAsia="仿宋" w:cs="Arial"/>
          <w:color w:val="000000"/>
          <w:sz w:val="32"/>
          <w:szCs w:val="32"/>
        </w:rPr>
      </w:pPr>
      <w:r>
        <w:rPr>
          <w:rFonts w:hint="eastAsia" w:ascii="仿宋" w:hAnsi="仿宋" w:eastAsia="仿宋" w:cs="Arial"/>
          <w:color w:val="000000"/>
          <w:sz w:val="32"/>
          <w:szCs w:val="32"/>
        </w:rPr>
        <w:t>16.西方逻辑学研究</w:t>
      </w:r>
    </w:p>
    <w:p>
      <w:pPr>
        <w:pStyle w:val="4"/>
        <w:shd w:val="clear" w:color="auto" w:fill="FFFFFF"/>
        <w:spacing w:before="0" w:beforeAutospacing="0" w:after="0" w:afterAutospacing="0" w:line="0" w:lineRule="atLeast"/>
        <w:rPr>
          <w:rFonts w:ascii="黑体" w:hAnsi="黑体" w:eastAsia="黑体" w:cs="Arial"/>
          <w:bCs/>
          <w:color w:val="000000"/>
          <w:sz w:val="32"/>
          <w:szCs w:val="32"/>
        </w:rPr>
      </w:pPr>
      <w:r>
        <w:rPr>
          <w:rFonts w:hint="eastAsia" w:ascii="黑体" w:hAnsi="黑体" w:eastAsia="黑体"/>
          <w:bCs/>
          <w:color w:val="000000"/>
          <w:sz w:val="32"/>
          <w:szCs w:val="32"/>
        </w:rPr>
        <w:t>经济学</w:t>
      </w:r>
      <w:r>
        <w:rPr>
          <w:rStyle w:val="7"/>
          <w:rFonts w:hint="eastAsia" w:ascii="黑体" w:hAnsi="黑体" w:eastAsia="黑体" w:cs="Arial"/>
          <w:b w:val="0"/>
          <w:color w:val="000000"/>
          <w:sz w:val="32"/>
          <w:szCs w:val="32"/>
        </w:rPr>
        <w:t>·管理学</w:t>
      </w:r>
    </w:p>
    <w:p>
      <w:pPr>
        <w:spacing w:line="0" w:lineRule="atLeast"/>
        <w:rPr>
          <w:rFonts w:ascii="仿宋" w:hAnsi="仿宋" w:eastAsia="仿宋"/>
          <w:color w:val="000000"/>
          <w:sz w:val="32"/>
          <w:szCs w:val="32"/>
        </w:rPr>
      </w:pPr>
      <w:r>
        <w:rPr>
          <w:rFonts w:hint="eastAsia" w:ascii="仿宋" w:hAnsi="仿宋" w:eastAsia="仿宋"/>
          <w:color w:val="000000"/>
          <w:spacing w:val="8"/>
          <w:sz w:val="32"/>
          <w:szCs w:val="32"/>
          <w:shd w:val="clear" w:color="auto" w:fill="FFFFFF"/>
        </w:rPr>
        <w:t>1.习近平新时代中国特色社会主义经济思想研究</w:t>
      </w:r>
    </w:p>
    <w:p>
      <w:pPr>
        <w:widowControl/>
        <w:spacing w:line="0" w:lineRule="atLeast"/>
        <w:jc w:val="left"/>
        <w:rPr>
          <w:rFonts w:ascii="仿宋" w:hAnsi="仿宋" w:eastAsia="仿宋"/>
          <w:color w:val="000000"/>
          <w:sz w:val="32"/>
          <w:szCs w:val="32"/>
        </w:rPr>
      </w:pPr>
      <w:r>
        <w:rPr>
          <w:rFonts w:hint="eastAsia" w:ascii="仿宋" w:hAnsi="仿宋" w:eastAsia="仿宋"/>
          <w:color w:val="000000"/>
          <w:sz w:val="32"/>
          <w:szCs w:val="32"/>
        </w:rPr>
        <w:t>2.习近平总书记关于高质量发展的重要论述研究</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olor w:val="000000"/>
          <w:sz w:val="32"/>
          <w:szCs w:val="32"/>
        </w:rPr>
        <w:t>3.推动互联网、大数据、人工智能和实体经济深度融合研究</w:t>
      </w:r>
    </w:p>
    <w:p>
      <w:pPr>
        <w:spacing w:line="0" w:lineRule="atLeast"/>
        <w:rPr>
          <w:rFonts w:ascii="仿宋" w:hAnsi="仿宋" w:eastAsia="仿宋"/>
          <w:color w:val="000000"/>
          <w:sz w:val="32"/>
          <w:szCs w:val="32"/>
          <w:shd w:val="clear" w:color="auto" w:fill="FFFFFF"/>
        </w:rPr>
      </w:pPr>
      <w:r>
        <w:rPr>
          <w:rFonts w:hint="eastAsia" w:ascii="仿宋" w:hAnsi="仿宋" w:eastAsia="仿宋"/>
          <w:color w:val="000000"/>
          <w:sz w:val="32"/>
          <w:szCs w:val="32"/>
        </w:rPr>
        <w:t>4.</w:t>
      </w:r>
      <w:r>
        <w:rPr>
          <w:rFonts w:hint="eastAsia" w:ascii="仿宋" w:hAnsi="仿宋" w:eastAsia="仿宋"/>
          <w:color w:val="000000"/>
          <w:sz w:val="32"/>
          <w:szCs w:val="32"/>
          <w:shd w:val="clear" w:color="auto" w:fill="FFFFFF"/>
        </w:rPr>
        <w:t xml:space="preserve"> 信阳建立健全城乡融合发展体制机制和政策体系</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5.以科技创新促进经济高质量发展研究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6.淮河生态经济带绿色发展研究</w:t>
      </w:r>
    </w:p>
    <w:p>
      <w:pPr>
        <w:pStyle w:val="4"/>
        <w:shd w:val="clear" w:color="auto" w:fill="FFFFFF"/>
        <w:spacing w:before="0" w:beforeAutospacing="0" w:after="0" w:afterAutospacing="0" w:line="0" w:lineRule="atLeast"/>
        <w:ind w:right="45"/>
        <w:rPr>
          <w:rFonts w:ascii="仿宋" w:hAnsi="仿宋" w:eastAsia="仿宋"/>
          <w:color w:val="000000"/>
          <w:sz w:val="32"/>
          <w:szCs w:val="32"/>
        </w:rPr>
      </w:pPr>
      <w:r>
        <w:rPr>
          <w:rFonts w:hint="eastAsia" w:ascii="仿宋" w:hAnsi="仿宋" w:eastAsia="仿宋"/>
          <w:color w:val="000000"/>
          <w:sz w:val="32"/>
          <w:szCs w:val="32"/>
        </w:rPr>
        <w:t>7.大别山革命老区振兴发展研究</w:t>
      </w:r>
    </w:p>
    <w:p>
      <w:pPr>
        <w:widowControl/>
        <w:spacing w:line="0" w:lineRule="atLeast"/>
        <w:jc w:val="left"/>
        <w:rPr>
          <w:rFonts w:ascii="仿宋" w:hAnsi="仿宋" w:eastAsia="仿宋"/>
          <w:color w:val="000000"/>
          <w:sz w:val="32"/>
          <w:szCs w:val="32"/>
        </w:rPr>
      </w:pPr>
      <w:r>
        <w:rPr>
          <w:rFonts w:hint="eastAsia" w:ascii="仿宋" w:hAnsi="仿宋" w:eastAsia="仿宋"/>
          <w:color w:val="000000"/>
          <w:sz w:val="32"/>
          <w:szCs w:val="32"/>
        </w:rPr>
        <w:t>8.信阳产业结构调整升级研究</w:t>
      </w:r>
    </w:p>
    <w:p>
      <w:pPr>
        <w:spacing w:line="0" w:lineRule="atLeast"/>
        <w:rPr>
          <w:rFonts w:ascii="仿宋" w:hAnsi="仿宋" w:eastAsia="仿宋"/>
          <w:color w:val="000000"/>
          <w:sz w:val="32"/>
          <w:szCs w:val="32"/>
        </w:rPr>
      </w:pPr>
      <w:r>
        <w:rPr>
          <w:rFonts w:hint="eastAsia" w:ascii="仿宋" w:hAnsi="仿宋" w:eastAsia="仿宋"/>
          <w:color w:val="000000"/>
          <w:spacing w:val="8"/>
          <w:sz w:val="32"/>
          <w:szCs w:val="32"/>
          <w:shd w:val="clear" w:color="auto" w:fill="FFFFFF"/>
        </w:rPr>
        <w:t>9.信阳与周边区域经济开放与合作研究</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olor w:val="000000"/>
          <w:sz w:val="32"/>
          <w:szCs w:val="32"/>
        </w:rPr>
        <w:t>10.信阳技术创新与科技成果转化体制机制研究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11.信阳融入“一带一路”研究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12.绿色农业发展中政府、企业和农户的行为研究</w:t>
      </w:r>
    </w:p>
    <w:p>
      <w:pPr>
        <w:pStyle w:val="4"/>
        <w:shd w:val="clear" w:color="auto" w:fill="FFFFFF"/>
        <w:spacing w:before="0" w:beforeAutospacing="0" w:after="0" w:afterAutospacing="0" w:line="0" w:lineRule="atLeast"/>
        <w:ind w:right="45"/>
        <w:rPr>
          <w:rFonts w:ascii="仿宋" w:hAnsi="仿宋" w:eastAsia="仿宋"/>
          <w:color w:val="000000"/>
          <w:sz w:val="32"/>
          <w:szCs w:val="32"/>
        </w:rPr>
      </w:pPr>
      <w:r>
        <w:rPr>
          <w:rFonts w:hint="eastAsia" w:ascii="仿宋" w:hAnsi="仿宋" w:eastAsia="仿宋"/>
          <w:color w:val="000000"/>
          <w:sz w:val="32"/>
          <w:szCs w:val="32"/>
        </w:rPr>
        <w:t>13.信阳推进实施乡村振兴研究</w:t>
      </w:r>
    </w:p>
    <w:p>
      <w:pPr>
        <w:spacing w:line="0" w:lineRule="atLeast"/>
        <w:rPr>
          <w:rFonts w:ascii="仿宋" w:hAnsi="仿宋" w:eastAsia="仿宋"/>
          <w:color w:val="000000"/>
          <w:sz w:val="32"/>
          <w:szCs w:val="32"/>
          <w:shd w:val="clear" w:color="auto" w:fill="FFFFFF"/>
        </w:rPr>
      </w:pPr>
      <w:r>
        <w:rPr>
          <w:rFonts w:hint="eastAsia" w:ascii="仿宋" w:hAnsi="仿宋" w:eastAsia="仿宋"/>
          <w:sz w:val="32"/>
          <w:szCs w:val="32"/>
        </w:rPr>
        <w:t>14.信阳</w:t>
      </w:r>
      <w:r>
        <w:rPr>
          <w:rFonts w:hint="eastAsia" w:ascii="仿宋" w:hAnsi="仿宋" w:eastAsia="仿宋"/>
          <w:color w:val="000000"/>
          <w:sz w:val="32"/>
          <w:szCs w:val="32"/>
          <w:shd w:val="clear" w:color="auto" w:fill="FFFFFF"/>
        </w:rPr>
        <w:t>打造全国重要的粮食生产核心区研究</w:t>
      </w:r>
    </w:p>
    <w:p>
      <w:pPr>
        <w:pStyle w:val="4"/>
        <w:shd w:val="clear" w:color="auto" w:fill="FFFFFF"/>
        <w:spacing w:before="0" w:beforeAutospacing="0" w:after="0" w:afterAutospacing="0" w:line="0" w:lineRule="atLeast"/>
        <w:jc w:val="both"/>
        <w:rPr>
          <w:rFonts w:ascii="仿宋" w:hAnsi="仿宋" w:eastAsia="仿宋" w:cs="Arial"/>
          <w:sz w:val="32"/>
          <w:szCs w:val="32"/>
        </w:rPr>
      </w:pPr>
      <w:r>
        <w:rPr>
          <w:rFonts w:hint="eastAsia" w:ascii="仿宋" w:hAnsi="仿宋" w:eastAsia="仿宋" w:cs="Arial"/>
          <w:sz w:val="32"/>
          <w:szCs w:val="32"/>
        </w:rPr>
        <w:t>15.信阳新型农村集体经济发展研究</w:t>
      </w:r>
    </w:p>
    <w:p>
      <w:pPr>
        <w:spacing w:line="0" w:lineRule="atLeast"/>
        <w:rPr>
          <w:rFonts w:ascii="仿宋" w:hAnsi="仿宋" w:eastAsia="仿宋"/>
          <w:color w:val="000000"/>
          <w:spacing w:val="8"/>
          <w:sz w:val="32"/>
          <w:szCs w:val="32"/>
          <w:shd w:val="clear" w:color="auto" w:fill="FFFFFF"/>
        </w:rPr>
      </w:pPr>
      <w:r>
        <w:rPr>
          <w:rFonts w:hint="eastAsia" w:ascii="仿宋" w:hAnsi="仿宋" w:eastAsia="仿宋"/>
          <w:color w:val="000000"/>
          <w:spacing w:val="8"/>
          <w:sz w:val="32"/>
          <w:szCs w:val="32"/>
          <w:shd w:val="clear" w:color="auto" w:fill="FFFFFF"/>
        </w:rPr>
        <w:t>16.信阳耕地有效保护和利用研究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17.信阳乡村振兴的内生活力研究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18.信阳农业现代化路径研究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19.信阳返乡人员的创业发展研究</w:t>
      </w:r>
    </w:p>
    <w:p>
      <w:pPr>
        <w:spacing w:line="0" w:lineRule="atLeast"/>
        <w:ind w:left="378" w:hanging="377" w:hangingChars="118"/>
        <w:rPr>
          <w:rFonts w:ascii="仿宋" w:hAnsi="仿宋" w:eastAsia="仿宋"/>
          <w:sz w:val="32"/>
          <w:szCs w:val="32"/>
        </w:rPr>
      </w:pPr>
      <w:r>
        <w:rPr>
          <w:rFonts w:hint="eastAsia" w:ascii="仿宋" w:hAnsi="仿宋" w:eastAsia="仿宋"/>
          <w:color w:val="000000"/>
          <w:sz w:val="32"/>
          <w:szCs w:val="32"/>
          <w:shd w:val="clear" w:color="auto" w:fill="FFFFFF"/>
        </w:rPr>
        <w:t>20.信阳</w:t>
      </w:r>
      <w:r>
        <w:rPr>
          <w:rFonts w:hint="eastAsia" w:ascii="仿宋" w:hAnsi="仿宋" w:eastAsia="仿宋"/>
          <w:sz w:val="32"/>
          <w:szCs w:val="32"/>
        </w:rPr>
        <w:t>农村</w:t>
      </w:r>
      <w:r>
        <w:rPr>
          <w:rFonts w:hint="eastAsia" w:ascii="仿宋" w:hAnsi="仿宋" w:eastAsia="仿宋"/>
          <w:color w:val="000000"/>
          <w:sz w:val="32"/>
          <w:szCs w:val="32"/>
          <w:shd w:val="clear" w:color="auto" w:fill="FFFFFF"/>
        </w:rPr>
        <w:t>生态保护与</w:t>
      </w:r>
      <w:r>
        <w:rPr>
          <w:rFonts w:hint="eastAsia" w:ascii="仿宋" w:hAnsi="仿宋" w:eastAsia="仿宋"/>
          <w:sz w:val="32"/>
          <w:szCs w:val="32"/>
        </w:rPr>
        <w:t>人居环境</w:t>
      </w:r>
      <w:r>
        <w:rPr>
          <w:rFonts w:hint="eastAsia" w:ascii="仿宋" w:hAnsi="仿宋" w:eastAsia="仿宋"/>
          <w:color w:val="000000"/>
          <w:sz w:val="32"/>
          <w:szCs w:val="32"/>
          <w:shd w:val="clear" w:color="auto" w:fill="FFFFFF"/>
        </w:rPr>
        <w:t>整治研究</w:t>
      </w:r>
    </w:p>
    <w:p>
      <w:pPr>
        <w:spacing w:line="0" w:lineRule="atLeast"/>
        <w:rPr>
          <w:rFonts w:ascii="仿宋" w:hAnsi="仿宋" w:eastAsia="仿宋"/>
          <w:bCs/>
          <w:color w:val="000000"/>
          <w:sz w:val="32"/>
          <w:szCs w:val="32"/>
        </w:rPr>
      </w:pPr>
      <w:r>
        <w:rPr>
          <w:rFonts w:hint="eastAsia" w:ascii="仿宋" w:hAnsi="仿宋" w:eastAsia="仿宋"/>
          <w:bCs/>
          <w:color w:val="000000"/>
          <w:sz w:val="32"/>
          <w:szCs w:val="32"/>
        </w:rPr>
        <w:t>21.彰显豫南民居特色，推进信阳乡村宜居工程规划建设研究</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22.信阳山水林田湖系统修复治理研究</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23.信阳</w:t>
      </w:r>
      <w:r>
        <w:rPr>
          <w:rFonts w:ascii="仿宋" w:hAnsi="仿宋" w:eastAsia="仿宋" w:cs="宋体"/>
          <w:color w:val="000000"/>
          <w:kern w:val="0"/>
          <w:sz w:val="32"/>
          <w:szCs w:val="32"/>
        </w:rPr>
        <w:t>贫困</w:t>
      </w:r>
      <w:r>
        <w:rPr>
          <w:rFonts w:hint="eastAsia" w:ascii="仿宋" w:hAnsi="仿宋" w:eastAsia="仿宋" w:cs="宋体"/>
          <w:color w:val="000000"/>
          <w:kern w:val="0"/>
          <w:sz w:val="32"/>
          <w:szCs w:val="32"/>
        </w:rPr>
        <w:t>农</w:t>
      </w:r>
      <w:r>
        <w:rPr>
          <w:rFonts w:ascii="仿宋" w:hAnsi="仿宋" w:eastAsia="仿宋" w:cs="宋体"/>
          <w:color w:val="000000"/>
          <w:kern w:val="0"/>
          <w:sz w:val="32"/>
          <w:szCs w:val="32"/>
        </w:rPr>
        <w:t>村脱贫之后的可持续发展研究</w:t>
      </w:r>
    </w:p>
    <w:p>
      <w:pPr>
        <w:spacing w:line="0" w:lineRule="atLeas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24.信阳发展生态农业的思路与对策研究</w:t>
      </w:r>
    </w:p>
    <w:p>
      <w:pPr>
        <w:spacing w:line="0" w:lineRule="atLeas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25.提高信阳农业质量效益和竞争力研究</w:t>
      </w:r>
    </w:p>
    <w:p>
      <w:pPr>
        <w:pStyle w:val="4"/>
        <w:shd w:val="clear" w:color="auto" w:fill="FFFFFF"/>
        <w:spacing w:before="0" w:beforeAutospacing="0" w:after="0" w:afterAutospacing="0" w:line="0" w:lineRule="atLeast"/>
        <w:ind w:right="45"/>
        <w:rPr>
          <w:rFonts w:ascii="仿宋" w:hAnsi="仿宋" w:eastAsia="仿宋"/>
          <w:color w:val="000000"/>
          <w:sz w:val="32"/>
          <w:szCs w:val="32"/>
        </w:rPr>
      </w:pPr>
      <w:r>
        <w:rPr>
          <w:rFonts w:hint="eastAsia" w:ascii="仿宋" w:hAnsi="仿宋" w:eastAsia="仿宋"/>
          <w:color w:val="000000"/>
          <w:sz w:val="32"/>
          <w:szCs w:val="32"/>
        </w:rPr>
        <w:t>26.加强和完善信阳农村基础设施建设研究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27.加强信阳农业生态环境保护和农村污染防治研究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28.加强信阳城镇规划建设研究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29.如何发挥信阳交通枢纽作用研究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30.打造“信阳菜”品牌，让信阳菜走出去研究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31.打造“信阳品牌”研究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32.信阳茶产业集约化、高端化、生态化发展路径研究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33.信阳茶叶文化旅游有机融合研究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34.如何发挥信阳生态优势研究</w:t>
      </w:r>
    </w:p>
    <w:p>
      <w:pPr>
        <w:pStyle w:val="4"/>
        <w:shd w:val="clear" w:color="auto" w:fill="FFFFFF"/>
        <w:spacing w:before="0" w:beforeAutospacing="0" w:after="0" w:afterAutospacing="0" w:line="0" w:lineRule="atLeast"/>
        <w:ind w:right="4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35.推进信阳农业供给侧结构性改革研究</w:t>
      </w:r>
    </w:p>
    <w:p>
      <w:pPr>
        <w:spacing w:line="0" w:lineRule="atLeast"/>
        <w:rPr>
          <w:rFonts w:ascii="仿宋" w:hAnsi="仿宋" w:eastAsia="仿宋"/>
          <w:color w:val="000000"/>
          <w:sz w:val="32"/>
          <w:szCs w:val="32"/>
        </w:rPr>
      </w:pPr>
      <w:r>
        <w:rPr>
          <w:rFonts w:hint="eastAsia" w:ascii="仿宋" w:hAnsi="仿宋" w:eastAsia="仿宋"/>
          <w:color w:val="000000"/>
          <w:spacing w:val="8"/>
          <w:sz w:val="32"/>
          <w:szCs w:val="32"/>
          <w:shd w:val="clear" w:color="auto" w:fill="FFFFFF"/>
        </w:rPr>
        <w:t>36.提升金融服务信阳实体经济能力研究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37中国特色管理学学科体系、学术体系和话语体系研究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38.中国传统管理哲学思想与现代管理理论的融合研究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39.共享经济的发展与管理创新研究</w:t>
      </w:r>
    </w:p>
    <w:p>
      <w:pPr>
        <w:widowControl/>
        <w:spacing w:line="0" w:lineRule="atLeast"/>
        <w:jc w:val="left"/>
        <w:rPr>
          <w:rFonts w:ascii="仿宋" w:hAnsi="仿宋" w:eastAsia="仿宋"/>
          <w:color w:val="000000"/>
          <w:sz w:val="32"/>
          <w:szCs w:val="32"/>
        </w:rPr>
      </w:pPr>
      <w:r>
        <w:rPr>
          <w:rFonts w:hint="eastAsia" w:ascii="仿宋" w:hAnsi="仿宋" w:eastAsia="仿宋"/>
          <w:color w:val="000000"/>
          <w:sz w:val="32"/>
          <w:szCs w:val="32"/>
        </w:rPr>
        <w:t>40.农业农村优先发展的体制机制与政策体系研究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41.信阳加强基层公共文化服务建设研究</w:t>
      </w:r>
    </w:p>
    <w:p>
      <w:pPr>
        <w:spacing w:line="0" w:lineRule="atLeast"/>
        <w:ind w:left="378" w:hanging="377" w:hangingChars="118"/>
        <w:rPr>
          <w:rFonts w:ascii="仿宋" w:hAnsi="仿宋" w:eastAsia="仿宋"/>
          <w:b/>
          <w:color w:val="000000"/>
          <w:sz w:val="32"/>
          <w:szCs w:val="32"/>
        </w:rPr>
      </w:pPr>
      <w:r>
        <w:rPr>
          <w:rFonts w:hint="eastAsia" w:ascii="仿宋" w:hAnsi="仿宋" w:eastAsia="仿宋"/>
          <w:color w:val="000000"/>
          <w:sz w:val="32"/>
          <w:szCs w:val="32"/>
        </w:rPr>
        <w:t>42.信阳生态旅游运营模式研究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43.信阳红色文化资源与旅游发展融合研究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44.信阳城乡治理创新的理论与路径研究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45.建设信阳城乡可持续、多层次社会保障体系研究</w:t>
      </w:r>
    </w:p>
    <w:p>
      <w:pPr>
        <w:spacing w:line="0" w:lineRule="atLeast"/>
        <w:rPr>
          <w:rFonts w:ascii="黑体" w:hAnsi="黑体" w:eastAsia="黑体"/>
          <w:bCs/>
          <w:color w:val="000000"/>
          <w:sz w:val="32"/>
          <w:szCs w:val="32"/>
        </w:rPr>
      </w:pPr>
      <w:r>
        <w:rPr>
          <w:rFonts w:hint="eastAsia" w:ascii="黑体" w:hAnsi="黑体" w:eastAsia="黑体" w:cs="楷体_GB2312"/>
          <w:bCs/>
          <w:color w:val="000000"/>
          <w:sz w:val="32"/>
          <w:szCs w:val="32"/>
        </w:rPr>
        <w:t>政治学</w:t>
      </w:r>
      <w:r>
        <w:rPr>
          <w:rFonts w:hint="eastAsia" w:ascii="黑体" w:hAnsi="黑体" w:eastAsia="黑体"/>
          <w:bCs/>
          <w:color w:val="000000"/>
          <w:sz w:val="32"/>
          <w:szCs w:val="32"/>
        </w:rPr>
        <w:t>·</w:t>
      </w:r>
      <w:r>
        <w:rPr>
          <w:rFonts w:hint="eastAsia" w:ascii="黑体" w:hAnsi="黑体" w:eastAsia="黑体" w:cs="楷体_GB2312"/>
          <w:bCs/>
          <w:color w:val="000000"/>
          <w:sz w:val="32"/>
          <w:szCs w:val="32"/>
        </w:rPr>
        <w:t>法学</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1.习近平总书记关于新型政党制度的重要论述研究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2.习近平新时代中国特色社会主义思想对马克思主义政治学说的继承和发展研究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3.中国特色社会主义政治发展道路研究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4.中国特色社会主义政治学学科体系、学术体系和话语体系研究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5.提高政府决策科学化、民主化、法治化水平研究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6.新时代基层公务员激励机制研究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7.新时代乡村治理机制创新研究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8.新时代提升基层干部治理能力研究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9.政治学理论与研究方法专题研究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10.中外政治制度比较研究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11.人民代表大会制度和人民政协制度研究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12.中国传统政治文化创造性转化研究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13.新时代基层政治稳定与风险管控研究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14.新时代中国特色社会主义法治思想研究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15.习近平总书记关于全面依法治国的重要论述研究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16.建设中国特色社会主义法治体系研究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17.新时代社会矛盾变化与法治建设研究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18.网络空间治理中法律政策研究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19.阳光信访、责任信访、法治信访研究</w:t>
      </w:r>
    </w:p>
    <w:p>
      <w:pPr>
        <w:spacing w:line="0" w:lineRule="atLeast"/>
        <w:jc w:val="left"/>
        <w:rPr>
          <w:rFonts w:ascii="仿宋" w:hAnsi="仿宋" w:eastAsia="仿宋"/>
          <w:color w:val="000000"/>
          <w:sz w:val="32"/>
          <w:szCs w:val="32"/>
        </w:rPr>
      </w:pPr>
      <w:r>
        <w:rPr>
          <w:rFonts w:hint="eastAsia" w:ascii="仿宋" w:hAnsi="仿宋" w:eastAsia="仿宋"/>
          <w:color w:val="000000"/>
          <w:sz w:val="32"/>
          <w:szCs w:val="32"/>
        </w:rPr>
        <w:t>20.提高基层干部依法治理水平研究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21.食品安全法律问题研究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22.法学理论与实践的创新与发展研究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23.法治德治相结合的社会治理体系研究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24.基层社会治理创新的法治化研究</w:t>
      </w:r>
    </w:p>
    <w:p>
      <w:pPr>
        <w:pStyle w:val="4"/>
        <w:shd w:val="clear" w:color="auto" w:fill="FFFFFF"/>
        <w:spacing w:before="0" w:beforeAutospacing="0" w:after="0" w:afterAutospacing="0" w:line="0" w:lineRule="atLeast"/>
        <w:jc w:val="both"/>
        <w:rPr>
          <w:rFonts w:ascii="黑体" w:hAnsi="黑体" w:eastAsia="黑体" w:cs="Arial"/>
          <w:color w:val="000000"/>
          <w:sz w:val="32"/>
          <w:szCs w:val="32"/>
        </w:rPr>
      </w:pPr>
      <w:r>
        <w:rPr>
          <w:rStyle w:val="7"/>
          <w:rFonts w:hint="eastAsia" w:ascii="黑体" w:hAnsi="黑体" w:eastAsia="黑体" w:cs="Arial"/>
          <w:b w:val="0"/>
          <w:bCs w:val="0"/>
          <w:color w:val="000000"/>
          <w:sz w:val="32"/>
          <w:szCs w:val="32"/>
        </w:rPr>
        <w:t>社会学·人口学</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1.新时代中国特色社会主义社会建设理论研究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2.本土化社会学基本理论建构研究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3.新中国70年信阳社会发展与社会变迁研究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4.人口老龄化与社会保障体系建设研究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5.新时代社会组织发展研究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6.信阳农村社会状况研究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7.信阳根亲文化研究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8.信阳家风、家训建设与传承研究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9.豫南民居保护与传承研究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10.如何加强信阳社区服务建设研究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11.信阳社会信用体系建设研究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12.信阳外出务工人员状况与对策研究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13.信阳农村留守人口生存状态研究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14.人口流动下信阳农村婚姻家庭变迁研究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15.农村人居环境整治与建设的模式及机制创新研究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16.信阳民间信仰与民俗文化研究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17.中国生育水平变化趋势的社会影响研究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18.中国人口性别失衡问题研究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19.人口年龄结构变动与经济增长研究</w:t>
      </w:r>
    </w:p>
    <w:p>
      <w:pPr>
        <w:pStyle w:val="4"/>
        <w:shd w:val="clear" w:color="auto" w:fill="FFFFFF"/>
        <w:spacing w:before="0" w:beforeAutospacing="0" w:after="0" w:afterAutospacing="0" w:line="0" w:lineRule="atLeast"/>
        <w:rPr>
          <w:rFonts w:ascii="黑体" w:hAnsi="黑体" w:eastAsia="黑体" w:cs="Arial"/>
          <w:color w:val="000000"/>
          <w:sz w:val="32"/>
          <w:szCs w:val="32"/>
        </w:rPr>
      </w:pPr>
      <w:r>
        <w:rPr>
          <w:rStyle w:val="7"/>
          <w:rFonts w:hint="eastAsia" w:ascii="黑体" w:hAnsi="黑体" w:eastAsia="黑体" w:cs="Arial"/>
          <w:b w:val="0"/>
          <w:bCs w:val="0"/>
          <w:color w:val="000000"/>
          <w:sz w:val="32"/>
          <w:szCs w:val="32"/>
        </w:rPr>
        <w:t>民族学·宗教学</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1.习近平总书记关于民族团结与铸牢中华民族共同体意识的重要论述研究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2.中国特色社会主义民族理论研究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3.信阳民族分布与宗教发展趋势研究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4.马克思主义宗教观与中国特色宗教学体系建构研究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5.中国宗教领域新情况新问题研究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6.信阳农村宗教发展态势与对策研究</w:t>
      </w:r>
      <w:r>
        <w:rPr>
          <w:rFonts w:ascii="Arial" w:hAnsi="Arial" w:eastAsia="仿宋" w:cs="Arial"/>
          <w:color w:val="000000"/>
          <w:sz w:val="32"/>
          <w:szCs w:val="32"/>
        </w:rPr>
        <w:t>  </w:t>
      </w:r>
    </w:p>
    <w:p>
      <w:pPr>
        <w:spacing w:line="0" w:lineRule="atLeast"/>
        <w:rPr>
          <w:rStyle w:val="7"/>
          <w:rFonts w:hint="eastAsia" w:ascii="黑体" w:hAnsi="黑体" w:eastAsia="黑体" w:cs="Arial"/>
          <w:b w:val="0"/>
          <w:bCs w:val="0"/>
          <w:color w:val="000000"/>
          <w:kern w:val="0"/>
          <w:sz w:val="32"/>
          <w:szCs w:val="32"/>
        </w:rPr>
      </w:pPr>
      <w:r>
        <w:rPr>
          <w:rStyle w:val="7"/>
          <w:rFonts w:hint="eastAsia" w:ascii="黑体" w:hAnsi="黑体" w:eastAsia="黑体" w:cs="Arial"/>
          <w:b w:val="0"/>
          <w:bCs w:val="0"/>
          <w:color w:val="000000"/>
          <w:kern w:val="0"/>
          <w:sz w:val="32"/>
          <w:szCs w:val="32"/>
        </w:rPr>
        <w:t>历史·考古</w:t>
      </w:r>
    </w:p>
    <w:p>
      <w:pPr>
        <w:spacing w:line="0" w:lineRule="atLeast"/>
        <w:rPr>
          <w:rFonts w:ascii="仿宋" w:hAnsi="仿宋" w:eastAsia="仿宋"/>
          <w:color w:val="000000"/>
          <w:sz w:val="32"/>
          <w:szCs w:val="32"/>
        </w:rPr>
      </w:pPr>
      <w:r>
        <w:rPr>
          <w:rFonts w:hint="eastAsia" w:ascii="仿宋" w:hAnsi="仿宋" w:eastAsia="仿宋"/>
          <w:color w:val="000000"/>
          <w:sz w:val="32"/>
          <w:szCs w:val="32"/>
        </w:rPr>
        <w:t>1.中国文明起源、形成与发展机制研究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2.中国历史专题研究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3.世界历史专题研究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4.考古学专题研究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5.淮河流域生态环境与社会发展历史研究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6.司马光与信阳研究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7.孙叔敖与信阳研究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8.黄歇与楚国兴亡研究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9.信阳重要考古遗址、发掘资料的整理与研究</w:t>
      </w:r>
    </w:p>
    <w:p>
      <w:pPr>
        <w:pStyle w:val="4"/>
        <w:shd w:val="clear" w:color="auto" w:fill="FFFFFF"/>
        <w:spacing w:before="0" w:beforeAutospacing="0" w:after="0" w:afterAutospacing="0" w:line="0" w:lineRule="atLeast"/>
        <w:rPr>
          <w:rFonts w:ascii="黑体" w:hAnsi="黑体" w:eastAsia="黑体" w:cs="Arial"/>
          <w:color w:val="000000"/>
          <w:sz w:val="32"/>
          <w:szCs w:val="32"/>
        </w:rPr>
      </w:pPr>
      <w:r>
        <w:rPr>
          <w:rFonts w:hint="eastAsia" w:ascii="黑体" w:hAnsi="黑体" w:eastAsia="黑体" w:cs="Arial"/>
          <w:color w:val="000000"/>
          <w:sz w:val="32"/>
          <w:szCs w:val="32"/>
          <w:shd w:val="clear" w:color="auto" w:fill="FFFFFF"/>
        </w:rPr>
        <w:t>语言学</w:t>
      </w:r>
      <w:r>
        <w:rPr>
          <w:rFonts w:hint="eastAsia" w:ascii="黑体" w:hAnsi="黑体" w:eastAsia="黑体"/>
          <w:color w:val="000000"/>
          <w:sz w:val="32"/>
          <w:szCs w:val="32"/>
        </w:rPr>
        <w:t>·</w:t>
      </w:r>
      <w:r>
        <w:rPr>
          <w:rStyle w:val="7"/>
          <w:rFonts w:hint="eastAsia" w:ascii="黑体" w:hAnsi="黑体" w:eastAsia="黑体" w:cs="Arial"/>
          <w:b w:val="0"/>
          <w:bCs w:val="0"/>
          <w:color w:val="000000"/>
          <w:sz w:val="32"/>
          <w:szCs w:val="32"/>
        </w:rPr>
        <w:t>文学·艺术</w:t>
      </w:r>
    </w:p>
    <w:p>
      <w:pPr>
        <w:pStyle w:val="8"/>
        <w:spacing w:line="0" w:lineRule="atLeast"/>
        <w:ind w:firstLine="0" w:firstLineChars="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1.</w:t>
      </w:r>
      <w:r>
        <w:rPr>
          <w:rFonts w:ascii="仿宋" w:hAnsi="仿宋" w:eastAsia="仿宋" w:cs="Arial"/>
          <w:color w:val="000000"/>
          <w:sz w:val="32"/>
          <w:szCs w:val="32"/>
          <w:shd w:val="clear" w:color="auto" w:fill="FFFFFF"/>
        </w:rPr>
        <w:t>中国语言学学科体系、学术体系和话语体系研究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2.习近平新时代中国特色社会主义文化艺术重要论述研究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3.马克思主义艺术理论研究</w:t>
      </w:r>
    </w:p>
    <w:p>
      <w:pPr>
        <w:pStyle w:val="8"/>
        <w:spacing w:line="0" w:lineRule="atLeast"/>
        <w:ind w:firstLine="0" w:firstLineChars="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4.</w:t>
      </w:r>
      <w:r>
        <w:rPr>
          <w:rFonts w:ascii="仿宋" w:hAnsi="仿宋" w:eastAsia="仿宋" w:cs="Arial"/>
          <w:color w:val="000000"/>
          <w:sz w:val="32"/>
          <w:szCs w:val="32"/>
          <w:shd w:val="clear" w:color="auto" w:fill="FFFFFF"/>
        </w:rPr>
        <w:t>汉语与汉字</w:t>
      </w:r>
      <w:r>
        <w:rPr>
          <w:rFonts w:hint="eastAsia" w:ascii="仿宋" w:hAnsi="仿宋" w:eastAsia="仿宋" w:cs="Arial"/>
          <w:color w:val="000000"/>
          <w:sz w:val="32"/>
          <w:szCs w:val="32"/>
          <w:shd w:val="clear" w:color="auto" w:fill="FFFFFF"/>
        </w:rPr>
        <w:t>发展</w:t>
      </w:r>
      <w:r>
        <w:rPr>
          <w:rFonts w:ascii="仿宋" w:hAnsi="仿宋" w:eastAsia="仿宋" w:cs="Arial"/>
          <w:color w:val="000000"/>
          <w:sz w:val="32"/>
          <w:szCs w:val="32"/>
          <w:shd w:val="clear" w:color="auto" w:fill="FFFFFF"/>
        </w:rPr>
        <w:t>研究</w:t>
      </w:r>
    </w:p>
    <w:p>
      <w:pPr>
        <w:pStyle w:val="8"/>
        <w:spacing w:line="0" w:lineRule="atLeast"/>
        <w:ind w:firstLine="0" w:firstLineChars="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5.信阳</w:t>
      </w:r>
      <w:r>
        <w:rPr>
          <w:rFonts w:ascii="仿宋" w:hAnsi="仿宋" w:eastAsia="仿宋" w:cs="Arial"/>
          <w:color w:val="000000"/>
          <w:sz w:val="32"/>
          <w:szCs w:val="32"/>
          <w:shd w:val="clear" w:color="auto" w:fill="FFFFFF"/>
        </w:rPr>
        <w:t>方言研究</w:t>
      </w:r>
    </w:p>
    <w:p>
      <w:pPr>
        <w:pStyle w:val="8"/>
        <w:spacing w:line="0" w:lineRule="atLeast"/>
        <w:ind w:firstLine="0" w:firstLineChars="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6.</w:t>
      </w:r>
      <w:r>
        <w:rPr>
          <w:rFonts w:ascii="仿宋" w:hAnsi="仿宋" w:eastAsia="仿宋" w:cs="Arial"/>
          <w:color w:val="000000"/>
          <w:sz w:val="32"/>
          <w:szCs w:val="32"/>
          <w:shd w:val="clear" w:color="auto" w:fill="FFFFFF"/>
        </w:rPr>
        <w:t>网络时代语言特点与语言文明研究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7.文艺理论中的意识形态问题研究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8.中国古代经典作家及作品研究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9.中国现当代重要作家及作品研究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10.信阳红色文学研究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s="Arial"/>
          <w:color w:val="000000"/>
          <w:sz w:val="32"/>
          <w:szCs w:val="32"/>
        </w:rPr>
        <w:t>11.</w:t>
      </w:r>
      <w:r>
        <w:rPr>
          <w:rFonts w:hint="eastAsia" w:ascii="仿宋" w:hAnsi="仿宋" w:eastAsia="仿宋"/>
          <w:color w:val="000000"/>
          <w:sz w:val="32"/>
          <w:szCs w:val="32"/>
        </w:rPr>
        <w:t>何景明文学研究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12.外国文学研究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13.中外文学翻译、传播与影响研究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olor w:val="000000"/>
          <w:sz w:val="32"/>
          <w:szCs w:val="32"/>
        </w:rPr>
        <w:t>14.</w:t>
      </w:r>
      <w:r>
        <w:rPr>
          <w:rFonts w:hint="eastAsia" w:ascii="仿宋" w:hAnsi="仿宋" w:eastAsia="仿宋" w:cs="Arial"/>
          <w:color w:val="000000"/>
          <w:sz w:val="32"/>
          <w:szCs w:val="32"/>
        </w:rPr>
        <w:t>中外艺术理论与实践专题研究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15.信阳美丽乡村建设中的园林艺术研究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16.信阳民间歌舞研究</w:t>
      </w:r>
    </w:p>
    <w:p>
      <w:pPr>
        <w:widowControl/>
        <w:spacing w:line="0" w:lineRule="atLeast"/>
        <w:rPr>
          <w:rFonts w:ascii="黑体" w:hAnsi="黑体" w:eastAsia="黑体" w:cs="Arial"/>
          <w:color w:val="000000"/>
          <w:sz w:val="32"/>
          <w:szCs w:val="32"/>
        </w:rPr>
      </w:pPr>
      <w:r>
        <w:rPr>
          <w:rFonts w:hint="eastAsia" w:ascii="黑体" w:hAnsi="黑体" w:eastAsia="黑体" w:cs="楷体_GB2312"/>
          <w:bCs/>
          <w:color w:val="000000"/>
          <w:sz w:val="32"/>
          <w:szCs w:val="32"/>
        </w:rPr>
        <w:t>新闻学</w:t>
      </w:r>
      <w:r>
        <w:rPr>
          <w:rStyle w:val="7"/>
          <w:rFonts w:hint="eastAsia" w:ascii="黑体" w:hAnsi="黑体" w:eastAsia="黑体" w:cs="Arial"/>
          <w:color w:val="000000"/>
          <w:sz w:val="32"/>
          <w:szCs w:val="32"/>
        </w:rPr>
        <w:t>·</w:t>
      </w:r>
      <w:r>
        <w:rPr>
          <w:rFonts w:hint="eastAsia" w:ascii="黑体" w:hAnsi="黑体" w:eastAsia="黑体" w:cs="楷体_GB2312"/>
          <w:bCs/>
          <w:color w:val="000000"/>
          <w:sz w:val="32"/>
          <w:szCs w:val="32"/>
        </w:rPr>
        <w:t>传播学</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1.中国特色新闻学学科体系、学术体系和话语体系研究</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2.</w:t>
      </w:r>
      <w:r>
        <w:rPr>
          <w:rFonts w:hint="eastAsia" w:ascii="仿宋" w:hAnsi="仿宋" w:eastAsia="仿宋"/>
          <w:color w:val="000000"/>
          <w:sz w:val="32"/>
          <w:szCs w:val="32"/>
        </w:rPr>
        <w:t>大数据环境下舆情分析、舆论引导与决策支持研究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3.新时代网络监管研究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4.新网络治理环境下政务新媒体受众参与机制研究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5.融合媒介环境下突发事件舆情应对与经验研究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rPr>
        <w:t>6.信阳新媒体现状与发展趋势研究</w:t>
      </w:r>
      <w:r>
        <w:rPr>
          <w:rFonts w:ascii="Arial" w:hAnsi="Arial" w:eastAsia="仿宋" w:cs="Arial"/>
          <w:color w:val="000000"/>
          <w:sz w:val="32"/>
          <w:szCs w:val="32"/>
        </w:rPr>
        <w:t> </w:t>
      </w:r>
    </w:p>
    <w:p>
      <w:pPr>
        <w:spacing w:line="0" w:lineRule="atLeast"/>
        <w:rPr>
          <w:rFonts w:ascii="仿宋" w:hAnsi="仿宋" w:eastAsia="仿宋"/>
          <w:color w:val="000000"/>
          <w:sz w:val="32"/>
          <w:szCs w:val="32"/>
        </w:rPr>
      </w:pPr>
      <w:r>
        <w:rPr>
          <w:rFonts w:hint="eastAsia" w:ascii="仿宋" w:hAnsi="仿宋" w:eastAsia="仿宋"/>
          <w:color w:val="000000"/>
          <w:sz w:val="32"/>
          <w:szCs w:val="32"/>
        </w:rPr>
        <w:t>7.信阳推动媒体融合发展相关问题研究</w:t>
      </w:r>
    </w:p>
    <w:p>
      <w:pPr>
        <w:pStyle w:val="4"/>
        <w:shd w:val="clear" w:color="auto" w:fill="FFFFFF"/>
        <w:spacing w:before="0" w:beforeAutospacing="0" w:after="0" w:afterAutospacing="0" w:line="0" w:lineRule="atLeast"/>
        <w:rPr>
          <w:rFonts w:ascii="黑体" w:hAnsi="黑体" w:eastAsia="黑体" w:cs="Arial"/>
          <w:b/>
          <w:color w:val="000000"/>
          <w:sz w:val="32"/>
          <w:szCs w:val="32"/>
        </w:rPr>
      </w:pPr>
      <w:r>
        <w:rPr>
          <w:rStyle w:val="7"/>
          <w:rFonts w:hint="eastAsia" w:ascii="黑体" w:hAnsi="黑体" w:eastAsia="黑体" w:cs="Arial"/>
          <w:b w:val="0"/>
          <w:color w:val="000000"/>
          <w:sz w:val="32"/>
          <w:szCs w:val="32"/>
        </w:rPr>
        <w:t>图书馆·情报·文献学·统计</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1.新时代图书情报与档案管理学科体系的重新构建研究</w:t>
      </w:r>
    </w:p>
    <w:p>
      <w:pPr>
        <w:pStyle w:val="4"/>
        <w:shd w:val="clear" w:color="auto" w:fill="FFFFFF"/>
        <w:spacing w:before="0" w:beforeAutospacing="0" w:after="0" w:afterAutospacing="0" w:line="0" w:lineRule="atLeast"/>
        <w:jc w:val="both"/>
        <w:rPr>
          <w:rFonts w:ascii="仿宋" w:hAnsi="仿宋" w:eastAsia="仿宋" w:cs="Arial"/>
          <w:color w:val="000000"/>
          <w:sz w:val="32"/>
          <w:szCs w:val="32"/>
        </w:rPr>
      </w:pPr>
      <w:r>
        <w:rPr>
          <w:rFonts w:hint="eastAsia" w:ascii="仿宋" w:hAnsi="仿宋" w:eastAsia="仿宋" w:cs="Arial"/>
          <w:color w:val="000000"/>
          <w:sz w:val="32"/>
          <w:szCs w:val="32"/>
        </w:rPr>
        <w:t>2.学术大数据环境下的科学成果评价研究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3.数字化、智能化环境中档案、文献和图书等信息服务发展与创新研究</w:t>
      </w:r>
    </w:p>
    <w:p>
      <w:pPr>
        <w:spacing w:line="0" w:lineRule="atLeast"/>
        <w:rPr>
          <w:rFonts w:ascii="仿宋" w:hAnsi="仿宋" w:eastAsia="仿宋"/>
          <w:color w:val="000000"/>
          <w:sz w:val="32"/>
          <w:szCs w:val="32"/>
        </w:rPr>
      </w:pPr>
      <w:r>
        <w:rPr>
          <w:rFonts w:hint="eastAsia" w:ascii="仿宋" w:hAnsi="仿宋" w:eastAsia="仿宋"/>
          <w:color w:val="000000"/>
          <w:sz w:val="32"/>
          <w:szCs w:val="32"/>
        </w:rPr>
        <w:t>4.信阳推动全民阅读战略的对策与措施研究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5.大数据背景下统计新理论、新方法研究</w:t>
      </w:r>
    </w:p>
    <w:p>
      <w:pPr>
        <w:spacing w:line="0" w:lineRule="atLeast"/>
        <w:ind w:left="378" w:hanging="377" w:hangingChars="118"/>
        <w:rPr>
          <w:rFonts w:ascii="仿宋" w:hAnsi="仿宋" w:eastAsia="仿宋"/>
          <w:color w:val="000000"/>
          <w:sz w:val="32"/>
          <w:szCs w:val="32"/>
        </w:rPr>
      </w:pPr>
      <w:r>
        <w:rPr>
          <w:rFonts w:hint="eastAsia" w:ascii="仿宋" w:hAnsi="仿宋" w:eastAsia="仿宋"/>
          <w:color w:val="000000"/>
          <w:sz w:val="32"/>
          <w:szCs w:val="32"/>
        </w:rPr>
        <w:t>6.信阳社会经济发展相关问题的统计研究</w:t>
      </w:r>
    </w:p>
    <w:p>
      <w:pPr>
        <w:pStyle w:val="8"/>
        <w:spacing w:line="0" w:lineRule="atLeast"/>
        <w:ind w:firstLine="0" w:firstLineChars="0"/>
        <w:rPr>
          <w:rFonts w:ascii="黑体" w:hAnsi="黑体" w:eastAsia="黑体"/>
          <w:color w:val="000000"/>
          <w:sz w:val="32"/>
          <w:szCs w:val="32"/>
        </w:rPr>
      </w:pPr>
      <w:r>
        <w:rPr>
          <w:rFonts w:hint="eastAsia" w:ascii="黑体" w:hAnsi="黑体" w:eastAsia="黑体"/>
          <w:color w:val="000000"/>
          <w:sz w:val="32"/>
          <w:szCs w:val="32"/>
        </w:rPr>
        <w:t>教育学</w:t>
      </w:r>
      <w:r>
        <w:rPr>
          <w:rFonts w:hint="eastAsia" w:ascii="黑体" w:hAnsi="黑体" w:eastAsia="黑体"/>
          <w:bCs/>
          <w:color w:val="000000"/>
          <w:sz w:val="32"/>
          <w:szCs w:val="32"/>
        </w:rPr>
        <w:t>·</w:t>
      </w:r>
      <w:r>
        <w:rPr>
          <w:rFonts w:hint="eastAsia" w:ascii="黑体" w:hAnsi="黑体" w:eastAsia="黑体"/>
          <w:color w:val="000000"/>
          <w:sz w:val="32"/>
          <w:szCs w:val="32"/>
        </w:rPr>
        <w:t>体育学</w:t>
      </w:r>
      <w:r>
        <w:rPr>
          <w:rStyle w:val="7"/>
          <w:rFonts w:hint="eastAsia" w:ascii="宋体" w:hAnsi="宋体" w:cs="宋体"/>
          <w:color w:val="000000"/>
          <w:sz w:val="32"/>
          <w:szCs w:val="32"/>
        </w:rPr>
        <w:t> </w:t>
      </w:r>
    </w:p>
    <w:p>
      <w:pPr>
        <w:pStyle w:val="4"/>
        <w:shd w:val="clear" w:color="auto" w:fill="FFFFFF"/>
        <w:spacing w:before="0" w:beforeAutospacing="0" w:after="0" w:afterAutospacing="0" w:line="0" w:lineRule="atLeast"/>
        <w:textAlignment w:val="baseline"/>
        <w:rPr>
          <w:rFonts w:ascii="仿宋" w:hAnsi="仿宋" w:eastAsia="仿宋"/>
          <w:color w:val="000000"/>
          <w:sz w:val="32"/>
          <w:szCs w:val="32"/>
        </w:rPr>
      </w:pPr>
      <w:r>
        <w:rPr>
          <w:rFonts w:hint="eastAsia" w:ascii="仿宋" w:hAnsi="仿宋" w:eastAsia="仿宋"/>
          <w:color w:val="000000"/>
          <w:sz w:val="32"/>
          <w:szCs w:val="32"/>
        </w:rPr>
        <w:t>1.学校教育理论与实践研究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2.信阳学前教育现状与对策研究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3.信阳基础教育优化资源配置研究</w:t>
      </w:r>
    </w:p>
    <w:p>
      <w:pPr>
        <w:pStyle w:val="8"/>
        <w:spacing w:line="0" w:lineRule="atLeast"/>
        <w:ind w:firstLine="0" w:firstLineChars="0"/>
        <w:rPr>
          <w:rFonts w:ascii="仿宋" w:hAnsi="仿宋" w:eastAsia="仿宋" w:cs="仿宋"/>
          <w:bCs/>
          <w:color w:val="000000"/>
          <w:sz w:val="32"/>
          <w:szCs w:val="32"/>
        </w:rPr>
      </w:pPr>
      <w:r>
        <w:rPr>
          <w:rFonts w:hint="eastAsia" w:ascii="仿宋" w:hAnsi="仿宋" w:eastAsia="仿宋" w:cs="仿宋"/>
          <w:bCs/>
          <w:color w:val="000000"/>
          <w:sz w:val="32"/>
          <w:szCs w:val="32"/>
        </w:rPr>
        <w:t>4.信阳职业教育相关问题研究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5.信阳高等教育布局及整合研究</w:t>
      </w:r>
    </w:p>
    <w:p>
      <w:pPr>
        <w:pStyle w:val="8"/>
        <w:spacing w:line="0" w:lineRule="atLeast"/>
        <w:ind w:firstLine="0" w:firstLineChars="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6.信阳全民科学素质提升路径研究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7.体育学理论与实践研究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8.信阳校园体育研究</w:t>
      </w:r>
    </w:p>
    <w:p>
      <w:pPr>
        <w:pStyle w:val="8"/>
        <w:spacing w:line="0" w:lineRule="atLeast"/>
        <w:ind w:firstLine="0" w:firstLineChars="0"/>
        <w:rPr>
          <w:rFonts w:ascii="仿宋" w:hAnsi="仿宋" w:eastAsia="仿宋"/>
          <w:color w:val="000000"/>
          <w:sz w:val="32"/>
          <w:szCs w:val="32"/>
        </w:rPr>
      </w:pPr>
      <w:r>
        <w:rPr>
          <w:rFonts w:hint="eastAsia" w:ascii="仿宋" w:hAnsi="仿宋" w:eastAsia="仿宋"/>
          <w:color w:val="000000"/>
          <w:sz w:val="32"/>
          <w:szCs w:val="32"/>
          <w:shd w:val="clear" w:color="auto" w:fill="FFFFFF"/>
        </w:rPr>
        <w:t>9.信阳民间体育传承与发展研究</w:t>
      </w:r>
    </w:p>
    <w:p>
      <w:pPr>
        <w:pStyle w:val="8"/>
        <w:spacing w:line="0" w:lineRule="atLeast"/>
        <w:ind w:firstLine="0" w:firstLineChars="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10.信阳全民健身与全民健康融合研究</w:t>
      </w: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spacing w:line="594" w:lineRule="exact"/>
        <w:rPr>
          <w:rFonts w:hint="eastAsia" w:eastAsia="仿宋_GB2312"/>
          <w:sz w:val="32"/>
          <w:szCs w:val="32"/>
        </w:rPr>
      </w:pPr>
    </w:p>
    <w:p>
      <w:pPr>
        <w:rPr>
          <w:rFonts w:hint="eastAsia" w:ascii="黑体" w:hAnsi="黑体" w:eastAsia="黑体" w:cs="黑体"/>
          <w:sz w:val="32"/>
          <w:szCs w:val="32"/>
        </w:rPr>
        <w:sectPr>
          <w:headerReference r:id="rId5" w:type="first"/>
          <w:footerReference r:id="rId7" w:type="first"/>
          <w:footerReference r:id="rId6" w:type="default"/>
          <w:pgSz w:w="11907" w:h="16840"/>
          <w:pgMar w:top="1440" w:right="1797" w:bottom="1440" w:left="1797" w:header="851" w:footer="992" w:gutter="0"/>
          <w:pgNumType w:fmt="numberInDash"/>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t>- 6 -</w:t>
                          </w:r>
                          <w:r>
                            <w:rPr>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t>- 6 -</w:t>
                    </w:r>
                    <w:r>
                      <w:rPr>
                        <w:rFonts w:hint="eastAsia" w:ascii="仿宋" w:hAnsi="仿宋" w:eastAsia="仿宋" w:cs="仿宋"/>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- 13 -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t>- 7 -</w:t>
                          </w:r>
                          <w:r>
                            <w:rPr>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t>- 7 -</w:t>
                    </w:r>
                    <w:r>
                      <w:rPr>
                        <w:rFonts w:hint="eastAsia" w:ascii="仿宋" w:hAnsi="仿宋" w:eastAsia="仿宋" w:cs="仿宋"/>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90CC0"/>
    <w:rsid w:val="2C203AE5"/>
    <w:rsid w:val="55E9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customStyle="1" w:styleId="8">
    <w:name w:val="列出段落1"/>
    <w:basedOn w:val="1"/>
    <w:qFormat/>
    <w:uiPriority w:val="99"/>
    <w:pPr>
      <w:ind w:firstLine="420" w:firstLineChars="200"/>
    </w:pPr>
  </w:style>
  <w:style w:type="paragraph" w:customStyle="1" w:styleId="9">
    <w:name w:val="footer"/>
    <w:basedOn w:val="1"/>
    <w:qFormat/>
    <w:uiPriority w:val="0"/>
    <w:pPr>
      <w:widowControl/>
      <w:tabs>
        <w:tab w:val="center" w:pos="4153"/>
        <w:tab w:val="right" w:pos="8306"/>
      </w:tabs>
      <w:adjustRightInd w:val="0"/>
      <w:snapToGrid w:val="0"/>
      <w:spacing w:after="200" w:afterLines="0"/>
      <w:jc w:val="left"/>
    </w:pPr>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2019-04-16T09:18:00Z</dcterms:created>
  <dc:creator>心 安</dc:creator>
  <cp:lastModifiedBy>心 安</cp:lastModifiedBy>
  <dcterms:modified xsi:type="dcterms:W3CDTF">2019-04-16T09:32:43Z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